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63480" w14:textId="77777777" w:rsidR="00CE09E7" w:rsidRPr="00CE09E7" w:rsidRDefault="00CE09E7" w:rsidP="00141337">
      <w:pPr>
        <w:suppressAutoHyphens/>
        <w:autoSpaceDN w:val="0"/>
        <w:spacing w:after="0" w:line="240" w:lineRule="auto"/>
        <w:jc w:val="right"/>
        <w:rPr>
          <w:rFonts w:ascii="Times New Roman" w:eastAsia="Calibri" w:hAnsi="Times New Roman" w:cs="Times New Roman"/>
          <w:bCs/>
          <w:sz w:val="20"/>
          <w:szCs w:val="20"/>
        </w:rPr>
      </w:pPr>
      <w:r w:rsidRPr="00CE09E7">
        <w:rPr>
          <w:rFonts w:ascii="Times New Roman" w:eastAsia="Calibri" w:hAnsi="Times New Roman" w:cs="Times New Roman"/>
          <w:bCs/>
          <w:sz w:val="20"/>
          <w:szCs w:val="20"/>
        </w:rPr>
        <w:t xml:space="preserve">Pirkimo sąlygų </w:t>
      </w:r>
    </w:p>
    <w:p w14:paraId="2A8A8806" w14:textId="4DEF8B6E" w:rsidR="008C0BBE" w:rsidRDefault="00CE09E7" w:rsidP="00141337">
      <w:pPr>
        <w:suppressAutoHyphens/>
        <w:autoSpaceDN w:val="0"/>
        <w:spacing w:after="0" w:line="240" w:lineRule="auto"/>
        <w:jc w:val="right"/>
        <w:rPr>
          <w:rFonts w:ascii="Times New Roman" w:eastAsia="Calibri" w:hAnsi="Times New Roman" w:cs="Times New Roman"/>
          <w:bCs/>
          <w:sz w:val="20"/>
          <w:szCs w:val="20"/>
        </w:rPr>
      </w:pPr>
      <w:r w:rsidRPr="00CE09E7">
        <w:rPr>
          <w:rFonts w:ascii="Times New Roman" w:eastAsia="Calibri" w:hAnsi="Times New Roman" w:cs="Times New Roman"/>
          <w:bCs/>
          <w:sz w:val="20"/>
          <w:szCs w:val="20"/>
        </w:rPr>
        <w:t>1 priedas „Techninė specifikacija“</w:t>
      </w:r>
    </w:p>
    <w:p w14:paraId="76FB2125" w14:textId="77777777" w:rsidR="00141337" w:rsidRPr="00141337" w:rsidRDefault="00141337" w:rsidP="00141337">
      <w:pPr>
        <w:suppressAutoHyphens/>
        <w:autoSpaceDN w:val="0"/>
        <w:spacing w:after="0" w:line="240" w:lineRule="auto"/>
        <w:jc w:val="right"/>
        <w:rPr>
          <w:rFonts w:ascii="Times New Roman" w:eastAsia="Calibri" w:hAnsi="Times New Roman" w:cs="Times New Roman"/>
          <w:bCs/>
          <w:sz w:val="20"/>
          <w:szCs w:val="20"/>
        </w:rPr>
      </w:pPr>
    </w:p>
    <w:p w14:paraId="4D04095B" w14:textId="57BCBFBC" w:rsidR="002E7B50" w:rsidRPr="00141337" w:rsidRDefault="008C0BBE" w:rsidP="00141337">
      <w:pPr>
        <w:spacing w:after="0" w:line="240" w:lineRule="auto"/>
        <w:jc w:val="center"/>
        <w:rPr>
          <w:rFonts w:ascii="Times New Roman" w:hAnsi="Times New Roman" w:cs="Times New Roman"/>
          <w:b/>
          <w:sz w:val="23"/>
          <w:szCs w:val="23"/>
        </w:rPr>
      </w:pPr>
      <w:r w:rsidRPr="00141337">
        <w:rPr>
          <w:rFonts w:ascii="Times New Roman" w:hAnsi="Times New Roman" w:cs="Times New Roman"/>
          <w:b/>
          <w:sz w:val="23"/>
          <w:szCs w:val="23"/>
        </w:rPr>
        <w:t xml:space="preserve">ASBESTO TURINČIŲ GAMINIŲ ATLIEKŲ SURINKIMO APVAŽIAVIMO BŪDU, TRANSPORTAVIMO IR SAUGAUS ŠALINIMO PASLAUGŲ TEIKIMO SUTARTIES </w:t>
      </w:r>
    </w:p>
    <w:p w14:paraId="1F910CE6" w14:textId="3210E3E8" w:rsidR="008C0BBE" w:rsidRPr="00141337" w:rsidRDefault="008C0BBE" w:rsidP="00141337">
      <w:pPr>
        <w:spacing w:after="0" w:line="240" w:lineRule="auto"/>
        <w:jc w:val="center"/>
        <w:rPr>
          <w:rFonts w:ascii="Times New Roman" w:hAnsi="Times New Roman" w:cs="Times New Roman"/>
          <w:b/>
          <w:sz w:val="23"/>
          <w:szCs w:val="23"/>
        </w:rPr>
      </w:pPr>
      <w:r w:rsidRPr="00141337">
        <w:rPr>
          <w:rFonts w:ascii="Times New Roman" w:hAnsi="Times New Roman" w:cs="Times New Roman"/>
          <w:b/>
          <w:sz w:val="23"/>
          <w:szCs w:val="23"/>
        </w:rPr>
        <w:t>TECHNINĖ SPECIFIKACIJA</w:t>
      </w:r>
    </w:p>
    <w:p w14:paraId="1AA8884F" w14:textId="77777777" w:rsidR="008C0BBE" w:rsidRPr="00141337" w:rsidRDefault="008C0BBE" w:rsidP="00141337">
      <w:pPr>
        <w:spacing w:after="0" w:line="240" w:lineRule="auto"/>
        <w:jc w:val="both"/>
        <w:rPr>
          <w:rFonts w:ascii="Times New Roman" w:hAnsi="Times New Roman" w:cs="Times New Roman"/>
          <w:b/>
          <w:sz w:val="23"/>
          <w:szCs w:val="23"/>
        </w:rPr>
      </w:pPr>
    </w:p>
    <w:p w14:paraId="4E81ED61" w14:textId="77777777" w:rsidR="008C0BBE" w:rsidRPr="00141337" w:rsidRDefault="008C0BBE" w:rsidP="00141337">
      <w:pPr>
        <w:spacing w:after="0" w:line="240" w:lineRule="auto"/>
        <w:jc w:val="both"/>
        <w:rPr>
          <w:rFonts w:ascii="Times New Roman" w:hAnsi="Times New Roman" w:cs="Times New Roman"/>
          <w:b/>
          <w:sz w:val="23"/>
          <w:szCs w:val="23"/>
        </w:rPr>
      </w:pPr>
      <w:r w:rsidRPr="00141337">
        <w:rPr>
          <w:rFonts w:ascii="Times New Roman" w:hAnsi="Times New Roman" w:cs="Times New Roman"/>
          <w:b/>
          <w:sz w:val="23"/>
          <w:szCs w:val="23"/>
        </w:rPr>
        <w:t>1. Sąvokos ir sutrumpinimai:</w:t>
      </w:r>
    </w:p>
    <w:p w14:paraId="697C824B"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1.1. Paslaugų gavėjas – Šiaulių miesto savivaldybės administracija.</w:t>
      </w:r>
    </w:p>
    <w:p w14:paraId="689F7234"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1.2. Paslaugų teikėjas – ūkio subjektas, fizinis ar juridinis asmuo, su kuriuo Paslaugų gavėjas sudaro Sutartį.</w:t>
      </w:r>
    </w:p>
    <w:p w14:paraId="47ED1180"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1.3. Sutartis – sudaroma tarp Paslaugų gavėjo ir Paslaugų teikėjo dėl Pirkimo objekto.</w:t>
      </w:r>
    </w:p>
    <w:p w14:paraId="6CC548D1"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1.4. Pirkimo objektas – asbesto turinčių gaminių atliekų surinkimo iš Šiaulių miesto savivaldybės teritorijoje esamų visuomeninės paskirties ir individualių gyventojų pastatų apvažiavimo būdu, transportavimo ir saugaus šalinimo paslaugos (toliau – Paslaugos).</w:t>
      </w:r>
    </w:p>
    <w:p w14:paraId="67877AA7"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1.5. Atliekos – asbesto turinčių gaminių atliekos, atitinkančios Lietuvos Respublikos aplinkos ministro 1999 m. liepos 14 d. įsakymu Nr. 217 (Lietuvos Respublikos aplinkos ministro 2017 m. spalio 9 d. įsakymo Nr. D1-831 redakcija) patvirtintų Atliekų tvarkymo taisyklių  IV skyriuje pateiktame Atliekų sąraše esančius atliekų kodus 17 06 01 „izoliacinės medžiagos, kuriose yra asbesto“ ir 17 06 05 „statybinės medžiagos, turinčios asbesto“.</w:t>
      </w:r>
    </w:p>
    <w:p w14:paraId="537934E7"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 xml:space="preserve">1.6. Atliekų turėtojas – individualių namų gyventojai ir visuomeninės paskirties pastatų savininkai (naudotojai), iš kurių renkamos Atliekos. </w:t>
      </w:r>
    </w:p>
    <w:p w14:paraId="6BEF72C2"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1.7. Šalinimo įrenginys – Šiaulių regiono nepavojingų atliekų sąvartynas, kurio adresas yra Jurgeliškių k. 9 (buvęs Aukštrakių), Šiaulių rajonas.</w:t>
      </w:r>
    </w:p>
    <w:p w14:paraId="3461FFE0" w14:textId="77777777" w:rsidR="00141337" w:rsidRDefault="00141337" w:rsidP="00141337">
      <w:pPr>
        <w:spacing w:after="0" w:line="240" w:lineRule="auto"/>
        <w:jc w:val="both"/>
        <w:rPr>
          <w:rFonts w:ascii="Times New Roman" w:hAnsi="Times New Roman" w:cs="Times New Roman"/>
          <w:b/>
          <w:sz w:val="23"/>
          <w:szCs w:val="23"/>
        </w:rPr>
      </w:pPr>
    </w:p>
    <w:p w14:paraId="5C126B72" w14:textId="63E71D75" w:rsidR="008C0BBE" w:rsidRPr="00141337" w:rsidRDefault="008C0BBE" w:rsidP="00141337">
      <w:pPr>
        <w:spacing w:after="0" w:line="240" w:lineRule="auto"/>
        <w:jc w:val="both"/>
        <w:rPr>
          <w:rFonts w:ascii="Times New Roman" w:hAnsi="Times New Roman" w:cs="Times New Roman"/>
          <w:b/>
          <w:sz w:val="23"/>
          <w:szCs w:val="23"/>
        </w:rPr>
      </w:pPr>
      <w:r w:rsidRPr="00141337">
        <w:rPr>
          <w:rFonts w:ascii="Times New Roman" w:hAnsi="Times New Roman" w:cs="Times New Roman"/>
          <w:b/>
          <w:sz w:val="23"/>
          <w:szCs w:val="23"/>
        </w:rPr>
        <w:t>2. Pirkimo objekto apimtys ir terminai:</w:t>
      </w:r>
    </w:p>
    <w:p w14:paraId="49B0CEB4"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 xml:space="preserve">2.1. Atliekos yra renkamos Šiaulių miesto savivaldybės teritorijoje. </w:t>
      </w:r>
    </w:p>
    <w:p w14:paraId="1EF6A483"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2.2. Planuojama surinkti ir saugiai pašalinti iki 700 tonų Atliekų.</w:t>
      </w:r>
    </w:p>
    <w:p w14:paraId="7711F640"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2.3. Paslaugų gavėjas neįsipareigoja išpirkti viso numatyto Atliekų kiekio.</w:t>
      </w:r>
    </w:p>
    <w:p w14:paraId="0720EC17"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2.4. Paslaugų teikėjas už surinktų Atliekų šalinimą turi sumokėti pagal Šalinimo įrenginyje galiojančius gamybos ar kitos ūkinės veiklos procese susidariusių atliekų priėmimo ir apdorojimo įkainius (toliau – atliekų priėmimo įkainiai), VšĮ Šiaulių regiono atliekų tvarkymo centro Visuotinio dalininkų susirinkimo 2019 m. lapkričio 22 d. sprendimu Nr. 6, protokolo Nr. D-75, Visuotinio dalininkų susirinkimo 2021 m. gruodžio 27 d. sprendimais Nr. 8 ir Nr. 9, protokolo Nr. D-90:</w:t>
      </w:r>
    </w:p>
    <w:tbl>
      <w:tblPr>
        <w:tblW w:w="9870" w:type="dxa"/>
        <w:jc w:val="center"/>
        <w:tblLayout w:type="fixed"/>
        <w:tblLook w:val="04A0" w:firstRow="1" w:lastRow="0" w:firstColumn="1" w:lastColumn="0" w:noHBand="0" w:noVBand="1"/>
      </w:tblPr>
      <w:tblGrid>
        <w:gridCol w:w="562"/>
        <w:gridCol w:w="3807"/>
        <w:gridCol w:w="1580"/>
        <w:gridCol w:w="1984"/>
        <w:gridCol w:w="1937"/>
      </w:tblGrid>
      <w:tr w:rsidR="008C0BBE" w:rsidRPr="00141337" w14:paraId="4AF6277F" w14:textId="77777777" w:rsidTr="001F5E90">
        <w:trPr>
          <w:trHeight w:val="684"/>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50DE522" w14:textId="77777777" w:rsidR="008C0BBE" w:rsidRPr="00141337" w:rsidRDefault="008C0BBE" w:rsidP="00141337">
            <w:pPr>
              <w:spacing w:after="0" w:line="240" w:lineRule="auto"/>
              <w:jc w:val="center"/>
              <w:rPr>
                <w:rFonts w:ascii="Times New Roman" w:eastAsia="Times New Roman" w:hAnsi="Times New Roman" w:cs="Times New Roman"/>
                <w:b/>
                <w:bCs/>
                <w:sz w:val="20"/>
                <w:szCs w:val="20"/>
                <w:lang w:eastAsia="lt-LT"/>
              </w:rPr>
            </w:pPr>
            <w:r w:rsidRPr="00141337">
              <w:rPr>
                <w:rFonts w:ascii="Times New Roman" w:eastAsia="Times New Roman" w:hAnsi="Times New Roman" w:cs="Times New Roman"/>
                <w:b/>
                <w:bCs/>
                <w:sz w:val="20"/>
                <w:szCs w:val="20"/>
                <w:lang w:eastAsia="lt-LT"/>
              </w:rPr>
              <w:t>Eil. Nr.</w:t>
            </w:r>
          </w:p>
        </w:tc>
        <w:tc>
          <w:tcPr>
            <w:tcW w:w="3807" w:type="dxa"/>
            <w:tcBorders>
              <w:top w:val="single" w:sz="4" w:space="0" w:color="auto"/>
              <w:left w:val="nil"/>
              <w:bottom w:val="single" w:sz="4" w:space="0" w:color="auto"/>
              <w:right w:val="single" w:sz="4" w:space="0" w:color="auto"/>
            </w:tcBorders>
            <w:vAlign w:val="center"/>
            <w:hideMark/>
          </w:tcPr>
          <w:p w14:paraId="511BF45C" w14:textId="77777777" w:rsidR="008C0BBE" w:rsidRPr="00141337" w:rsidRDefault="008C0BBE" w:rsidP="00141337">
            <w:pPr>
              <w:spacing w:after="0" w:line="240" w:lineRule="auto"/>
              <w:jc w:val="center"/>
              <w:rPr>
                <w:rFonts w:ascii="Times New Roman" w:eastAsia="Times New Roman" w:hAnsi="Times New Roman" w:cs="Times New Roman"/>
                <w:b/>
                <w:bCs/>
                <w:sz w:val="20"/>
                <w:szCs w:val="20"/>
                <w:lang w:eastAsia="lt-LT"/>
              </w:rPr>
            </w:pPr>
            <w:r w:rsidRPr="00141337">
              <w:rPr>
                <w:rFonts w:ascii="Times New Roman" w:eastAsia="Times New Roman" w:hAnsi="Times New Roman" w:cs="Times New Roman"/>
                <w:b/>
                <w:bCs/>
                <w:sz w:val="20"/>
                <w:szCs w:val="20"/>
                <w:lang w:eastAsia="lt-LT"/>
              </w:rPr>
              <w:t>Atliekų pavadinimas</w:t>
            </w:r>
          </w:p>
        </w:tc>
        <w:tc>
          <w:tcPr>
            <w:tcW w:w="1580" w:type="dxa"/>
            <w:tcBorders>
              <w:top w:val="single" w:sz="4" w:space="0" w:color="auto"/>
              <w:left w:val="nil"/>
              <w:bottom w:val="single" w:sz="4" w:space="0" w:color="auto"/>
              <w:right w:val="single" w:sz="4" w:space="0" w:color="auto"/>
            </w:tcBorders>
            <w:vAlign w:val="center"/>
            <w:hideMark/>
          </w:tcPr>
          <w:p w14:paraId="387A514D" w14:textId="77777777" w:rsidR="008C0BBE" w:rsidRPr="00141337" w:rsidRDefault="008C0BBE" w:rsidP="00141337">
            <w:pPr>
              <w:spacing w:after="0" w:line="240" w:lineRule="auto"/>
              <w:jc w:val="center"/>
              <w:rPr>
                <w:rFonts w:ascii="Times New Roman" w:eastAsia="Times New Roman" w:hAnsi="Times New Roman" w:cs="Times New Roman"/>
                <w:b/>
                <w:bCs/>
                <w:sz w:val="20"/>
                <w:szCs w:val="20"/>
                <w:lang w:eastAsia="lt-LT"/>
              </w:rPr>
            </w:pPr>
            <w:r w:rsidRPr="00141337">
              <w:rPr>
                <w:rFonts w:ascii="Times New Roman" w:eastAsia="Times New Roman" w:hAnsi="Times New Roman" w:cs="Times New Roman"/>
                <w:b/>
                <w:bCs/>
                <w:sz w:val="20"/>
                <w:szCs w:val="20"/>
                <w:lang w:eastAsia="lt-LT"/>
              </w:rPr>
              <w:t>Atliekų kodas</w:t>
            </w:r>
          </w:p>
        </w:tc>
        <w:tc>
          <w:tcPr>
            <w:tcW w:w="1984" w:type="dxa"/>
            <w:tcBorders>
              <w:top w:val="single" w:sz="4" w:space="0" w:color="auto"/>
              <w:left w:val="nil"/>
              <w:bottom w:val="single" w:sz="4" w:space="0" w:color="auto"/>
              <w:right w:val="single" w:sz="4" w:space="0" w:color="auto"/>
            </w:tcBorders>
            <w:vAlign w:val="center"/>
            <w:hideMark/>
          </w:tcPr>
          <w:p w14:paraId="478DD5AF" w14:textId="77777777" w:rsidR="008C0BBE" w:rsidRPr="00141337" w:rsidRDefault="008C0BBE" w:rsidP="00141337">
            <w:pPr>
              <w:spacing w:after="0" w:line="240" w:lineRule="auto"/>
              <w:jc w:val="center"/>
              <w:rPr>
                <w:rFonts w:ascii="Times New Roman" w:eastAsia="Times New Roman" w:hAnsi="Times New Roman" w:cs="Times New Roman"/>
                <w:b/>
                <w:bCs/>
                <w:sz w:val="20"/>
                <w:szCs w:val="20"/>
                <w:lang w:eastAsia="lt-LT"/>
              </w:rPr>
            </w:pPr>
            <w:r w:rsidRPr="00141337">
              <w:rPr>
                <w:rFonts w:ascii="Times New Roman" w:eastAsia="Times New Roman" w:hAnsi="Times New Roman" w:cs="Times New Roman"/>
                <w:b/>
                <w:bCs/>
                <w:sz w:val="20"/>
                <w:szCs w:val="20"/>
                <w:lang w:eastAsia="lt-LT"/>
              </w:rPr>
              <w:t xml:space="preserve">Kaina Eur/t </w:t>
            </w:r>
          </w:p>
          <w:p w14:paraId="274B64D4" w14:textId="77777777" w:rsidR="008C0BBE" w:rsidRPr="00141337" w:rsidRDefault="008C0BBE" w:rsidP="00141337">
            <w:pPr>
              <w:spacing w:after="0" w:line="240" w:lineRule="auto"/>
              <w:jc w:val="center"/>
              <w:rPr>
                <w:rFonts w:ascii="Times New Roman" w:eastAsia="Times New Roman" w:hAnsi="Times New Roman" w:cs="Times New Roman"/>
                <w:b/>
                <w:bCs/>
                <w:sz w:val="20"/>
                <w:szCs w:val="20"/>
                <w:lang w:eastAsia="lt-LT"/>
              </w:rPr>
            </w:pPr>
            <w:r w:rsidRPr="00141337">
              <w:rPr>
                <w:rFonts w:ascii="Times New Roman" w:eastAsia="Times New Roman" w:hAnsi="Times New Roman" w:cs="Times New Roman"/>
                <w:b/>
                <w:bCs/>
                <w:sz w:val="20"/>
                <w:szCs w:val="20"/>
                <w:lang w:eastAsia="lt-LT"/>
              </w:rPr>
              <w:t>(be PVM)</w:t>
            </w:r>
          </w:p>
        </w:tc>
        <w:tc>
          <w:tcPr>
            <w:tcW w:w="1937" w:type="dxa"/>
            <w:tcBorders>
              <w:top w:val="single" w:sz="4" w:space="0" w:color="auto"/>
              <w:left w:val="nil"/>
              <w:bottom w:val="single" w:sz="4" w:space="0" w:color="auto"/>
              <w:right w:val="single" w:sz="4" w:space="0" w:color="auto"/>
            </w:tcBorders>
            <w:vAlign w:val="center"/>
            <w:hideMark/>
          </w:tcPr>
          <w:p w14:paraId="1267F315" w14:textId="77777777" w:rsidR="008C0BBE" w:rsidRPr="00141337" w:rsidRDefault="008C0BBE" w:rsidP="00141337">
            <w:pPr>
              <w:spacing w:after="0" w:line="240" w:lineRule="auto"/>
              <w:jc w:val="center"/>
              <w:rPr>
                <w:rFonts w:ascii="Times New Roman" w:eastAsia="Times New Roman" w:hAnsi="Times New Roman" w:cs="Times New Roman"/>
                <w:b/>
                <w:bCs/>
                <w:sz w:val="20"/>
                <w:szCs w:val="20"/>
                <w:lang w:eastAsia="lt-LT"/>
              </w:rPr>
            </w:pPr>
            <w:r w:rsidRPr="00141337">
              <w:rPr>
                <w:rFonts w:ascii="Times New Roman" w:eastAsia="Times New Roman" w:hAnsi="Times New Roman" w:cs="Times New Roman"/>
                <w:b/>
                <w:bCs/>
                <w:sz w:val="20"/>
                <w:szCs w:val="20"/>
                <w:lang w:eastAsia="lt-LT"/>
              </w:rPr>
              <w:t xml:space="preserve">Kaina Eur/t </w:t>
            </w:r>
          </w:p>
          <w:p w14:paraId="38E52CD8" w14:textId="77777777" w:rsidR="008C0BBE" w:rsidRPr="00141337" w:rsidRDefault="008C0BBE" w:rsidP="00141337">
            <w:pPr>
              <w:spacing w:after="0" w:line="240" w:lineRule="auto"/>
              <w:jc w:val="center"/>
              <w:rPr>
                <w:rFonts w:ascii="Times New Roman" w:eastAsia="Times New Roman" w:hAnsi="Times New Roman" w:cs="Times New Roman"/>
                <w:b/>
                <w:bCs/>
                <w:sz w:val="20"/>
                <w:szCs w:val="20"/>
                <w:lang w:eastAsia="lt-LT"/>
              </w:rPr>
            </w:pPr>
            <w:r w:rsidRPr="00141337">
              <w:rPr>
                <w:rFonts w:ascii="Times New Roman" w:eastAsia="Times New Roman" w:hAnsi="Times New Roman" w:cs="Times New Roman"/>
                <w:b/>
                <w:bCs/>
                <w:sz w:val="20"/>
                <w:szCs w:val="20"/>
                <w:lang w:eastAsia="lt-LT"/>
              </w:rPr>
              <w:t>(su PVM)</w:t>
            </w:r>
          </w:p>
        </w:tc>
      </w:tr>
      <w:tr w:rsidR="008C0BBE" w:rsidRPr="00141337" w14:paraId="0E50F019" w14:textId="77777777" w:rsidTr="001F5E90">
        <w:trPr>
          <w:trHeight w:val="276"/>
          <w:jc w:val="center"/>
        </w:trPr>
        <w:tc>
          <w:tcPr>
            <w:tcW w:w="562" w:type="dxa"/>
            <w:vMerge w:val="restart"/>
            <w:tcBorders>
              <w:top w:val="nil"/>
              <w:left w:val="single" w:sz="4" w:space="0" w:color="auto"/>
              <w:bottom w:val="single" w:sz="4" w:space="0" w:color="auto"/>
              <w:right w:val="single" w:sz="4" w:space="0" w:color="auto"/>
            </w:tcBorders>
            <w:vAlign w:val="center"/>
            <w:hideMark/>
          </w:tcPr>
          <w:p w14:paraId="6056027C" w14:textId="77777777" w:rsidR="008C0BBE" w:rsidRPr="00141337" w:rsidRDefault="008C0BBE" w:rsidP="00141337">
            <w:pPr>
              <w:spacing w:after="0" w:line="240" w:lineRule="auto"/>
              <w:jc w:val="center"/>
              <w:rPr>
                <w:rFonts w:ascii="Times New Roman" w:eastAsia="Times New Roman" w:hAnsi="Times New Roman" w:cs="Times New Roman"/>
                <w:sz w:val="20"/>
                <w:szCs w:val="20"/>
                <w:lang w:eastAsia="lt-LT"/>
              </w:rPr>
            </w:pPr>
            <w:r w:rsidRPr="00141337">
              <w:rPr>
                <w:rFonts w:ascii="Times New Roman" w:eastAsia="Times New Roman" w:hAnsi="Times New Roman" w:cs="Times New Roman"/>
                <w:sz w:val="20"/>
                <w:szCs w:val="20"/>
                <w:lang w:eastAsia="lt-LT"/>
              </w:rPr>
              <w:t>1.</w:t>
            </w:r>
          </w:p>
        </w:tc>
        <w:tc>
          <w:tcPr>
            <w:tcW w:w="7371" w:type="dxa"/>
            <w:gridSpan w:val="3"/>
            <w:tcBorders>
              <w:top w:val="single" w:sz="4" w:space="0" w:color="auto"/>
              <w:left w:val="nil"/>
              <w:bottom w:val="single" w:sz="4" w:space="0" w:color="auto"/>
              <w:right w:val="nil"/>
            </w:tcBorders>
            <w:vAlign w:val="center"/>
            <w:hideMark/>
          </w:tcPr>
          <w:p w14:paraId="5EAA3699" w14:textId="77777777" w:rsidR="008C0BBE" w:rsidRPr="00141337" w:rsidRDefault="008C0BBE" w:rsidP="00141337">
            <w:pPr>
              <w:spacing w:after="0" w:line="240" w:lineRule="auto"/>
              <w:jc w:val="center"/>
              <w:rPr>
                <w:rFonts w:ascii="Times New Roman" w:eastAsia="Times New Roman" w:hAnsi="Times New Roman" w:cs="Times New Roman"/>
                <w:b/>
                <w:bCs/>
                <w:i/>
                <w:iCs/>
                <w:sz w:val="20"/>
                <w:szCs w:val="20"/>
                <w:lang w:eastAsia="lt-LT"/>
              </w:rPr>
            </w:pPr>
            <w:r w:rsidRPr="00141337">
              <w:rPr>
                <w:rFonts w:ascii="Times New Roman" w:eastAsia="Times New Roman" w:hAnsi="Times New Roman" w:cs="Times New Roman"/>
                <w:b/>
                <w:bCs/>
                <w:i/>
                <w:iCs/>
                <w:sz w:val="20"/>
                <w:szCs w:val="20"/>
                <w:lang w:eastAsia="lt-LT"/>
              </w:rPr>
              <w:t>Statybinės atliekos, turinčios asbesto (gyventojams)</w:t>
            </w:r>
          </w:p>
        </w:tc>
        <w:tc>
          <w:tcPr>
            <w:tcW w:w="1937" w:type="dxa"/>
            <w:vAlign w:val="center"/>
            <w:hideMark/>
          </w:tcPr>
          <w:p w14:paraId="42FD6678" w14:textId="77777777" w:rsidR="008C0BBE" w:rsidRPr="00141337" w:rsidRDefault="008C0BBE" w:rsidP="00141337">
            <w:pPr>
              <w:spacing w:after="0" w:line="240" w:lineRule="auto"/>
              <w:rPr>
                <w:rFonts w:ascii="Times New Roman" w:eastAsia="Times New Roman" w:hAnsi="Times New Roman" w:cs="Times New Roman"/>
                <w:b/>
                <w:bCs/>
                <w:i/>
                <w:iCs/>
                <w:sz w:val="20"/>
                <w:szCs w:val="20"/>
                <w:lang w:eastAsia="lt-LT"/>
              </w:rPr>
            </w:pPr>
            <w:r w:rsidRPr="00141337">
              <w:rPr>
                <w:rFonts w:ascii="Times New Roman" w:eastAsia="Times New Roman" w:hAnsi="Times New Roman" w:cs="Times New Roman"/>
                <w:b/>
                <w:bCs/>
                <w:i/>
                <w:iCs/>
                <w:sz w:val="20"/>
                <w:szCs w:val="20"/>
                <w:lang w:eastAsia="lt-LT"/>
              </w:rPr>
              <w:t> </w:t>
            </w:r>
          </w:p>
        </w:tc>
      </w:tr>
      <w:tr w:rsidR="008C0BBE" w:rsidRPr="00141337" w14:paraId="1627B215" w14:textId="77777777" w:rsidTr="001F5E90">
        <w:trPr>
          <w:trHeight w:val="276"/>
          <w:jc w:val="center"/>
        </w:trPr>
        <w:tc>
          <w:tcPr>
            <w:tcW w:w="562" w:type="dxa"/>
            <w:vMerge/>
            <w:tcBorders>
              <w:top w:val="nil"/>
              <w:left w:val="single" w:sz="4" w:space="0" w:color="auto"/>
              <w:bottom w:val="single" w:sz="4" w:space="0" w:color="auto"/>
              <w:right w:val="single" w:sz="4" w:space="0" w:color="auto"/>
            </w:tcBorders>
            <w:vAlign w:val="center"/>
            <w:hideMark/>
          </w:tcPr>
          <w:p w14:paraId="5217B524" w14:textId="77777777" w:rsidR="008C0BBE" w:rsidRPr="00141337" w:rsidRDefault="008C0BBE" w:rsidP="00141337">
            <w:pPr>
              <w:spacing w:after="0" w:line="240" w:lineRule="auto"/>
              <w:rPr>
                <w:rFonts w:ascii="Times New Roman" w:eastAsia="Times New Roman" w:hAnsi="Times New Roman" w:cs="Times New Roman"/>
                <w:sz w:val="20"/>
                <w:szCs w:val="20"/>
                <w:lang w:eastAsia="lt-LT"/>
              </w:rPr>
            </w:pPr>
          </w:p>
        </w:tc>
        <w:tc>
          <w:tcPr>
            <w:tcW w:w="3807" w:type="dxa"/>
            <w:tcBorders>
              <w:top w:val="nil"/>
              <w:left w:val="nil"/>
              <w:bottom w:val="single" w:sz="4" w:space="0" w:color="auto"/>
              <w:right w:val="single" w:sz="4" w:space="0" w:color="auto"/>
            </w:tcBorders>
            <w:vAlign w:val="center"/>
            <w:hideMark/>
          </w:tcPr>
          <w:p w14:paraId="728CF98C" w14:textId="77777777" w:rsidR="008C0BBE" w:rsidRPr="00141337" w:rsidRDefault="008C0BBE" w:rsidP="00141337">
            <w:pPr>
              <w:spacing w:after="0" w:line="240" w:lineRule="auto"/>
              <w:rPr>
                <w:rFonts w:ascii="Times New Roman" w:eastAsia="Times New Roman" w:hAnsi="Times New Roman" w:cs="Times New Roman"/>
                <w:sz w:val="20"/>
                <w:szCs w:val="20"/>
                <w:lang w:eastAsia="lt-LT"/>
              </w:rPr>
            </w:pPr>
            <w:r w:rsidRPr="00141337">
              <w:rPr>
                <w:rFonts w:ascii="Times New Roman" w:eastAsia="Times New Roman" w:hAnsi="Times New Roman" w:cs="Times New Roman"/>
                <w:sz w:val="20"/>
                <w:szCs w:val="20"/>
                <w:lang w:eastAsia="lt-LT"/>
              </w:rPr>
              <w:t>Statybinės medžiagos, turinčios asbesto</w:t>
            </w:r>
          </w:p>
        </w:tc>
        <w:tc>
          <w:tcPr>
            <w:tcW w:w="1580" w:type="dxa"/>
            <w:tcBorders>
              <w:top w:val="nil"/>
              <w:left w:val="nil"/>
              <w:bottom w:val="single" w:sz="4" w:space="0" w:color="auto"/>
              <w:right w:val="single" w:sz="4" w:space="0" w:color="auto"/>
            </w:tcBorders>
            <w:vAlign w:val="center"/>
            <w:hideMark/>
          </w:tcPr>
          <w:p w14:paraId="254E570A" w14:textId="77777777" w:rsidR="008C0BBE" w:rsidRPr="00141337" w:rsidRDefault="008C0BBE" w:rsidP="00141337">
            <w:pPr>
              <w:spacing w:after="0" w:line="240" w:lineRule="auto"/>
              <w:jc w:val="center"/>
              <w:rPr>
                <w:rFonts w:ascii="Times New Roman" w:eastAsia="Times New Roman" w:hAnsi="Times New Roman" w:cs="Times New Roman"/>
                <w:sz w:val="20"/>
                <w:szCs w:val="20"/>
                <w:lang w:eastAsia="lt-LT"/>
              </w:rPr>
            </w:pPr>
            <w:r w:rsidRPr="00141337">
              <w:rPr>
                <w:rFonts w:ascii="Times New Roman" w:eastAsia="Times New Roman" w:hAnsi="Times New Roman" w:cs="Times New Roman"/>
                <w:sz w:val="20"/>
                <w:szCs w:val="20"/>
                <w:lang w:eastAsia="lt-LT"/>
              </w:rPr>
              <w:t>17 06 05</w:t>
            </w:r>
          </w:p>
        </w:tc>
        <w:tc>
          <w:tcPr>
            <w:tcW w:w="1984" w:type="dxa"/>
            <w:tcBorders>
              <w:top w:val="nil"/>
              <w:left w:val="nil"/>
              <w:bottom w:val="single" w:sz="4" w:space="0" w:color="auto"/>
              <w:right w:val="single" w:sz="4" w:space="0" w:color="auto"/>
            </w:tcBorders>
            <w:vAlign w:val="center"/>
          </w:tcPr>
          <w:p w14:paraId="496DD2C1" w14:textId="77777777" w:rsidR="008C0BBE" w:rsidRPr="00141337" w:rsidRDefault="008C0BBE" w:rsidP="00141337">
            <w:pPr>
              <w:spacing w:after="0" w:line="240" w:lineRule="auto"/>
              <w:jc w:val="center"/>
              <w:rPr>
                <w:rFonts w:ascii="Times New Roman" w:eastAsia="Times New Roman" w:hAnsi="Times New Roman" w:cs="Times New Roman"/>
                <w:sz w:val="20"/>
                <w:szCs w:val="20"/>
                <w:lang w:eastAsia="lt-LT"/>
              </w:rPr>
            </w:pPr>
            <w:r w:rsidRPr="00141337">
              <w:rPr>
                <w:rFonts w:ascii="Times New Roman" w:eastAsia="Times New Roman" w:hAnsi="Times New Roman" w:cs="Times New Roman"/>
                <w:sz w:val="20"/>
                <w:szCs w:val="20"/>
                <w:lang w:eastAsia="lt-LT"/>
              </w:rPr>
              <w:t>56,30</w:t>
            </w:r>
          </w:p>
        </w:tc>
        <w:tc>
          <w:tcPr>
            <w:tcW w:w="1937" w:type="dxa"/>
            <w:tcBorders>
              <w:top w:val="single" w:sz="4" w:space="0" w:color="auto"/>
              <w:left w:val="nil"/>
              <w:bottom w:val="single" w:sz="4" w:space="0" w:color="auto"/>
              <w:right w:val="single" w:sz="4" w:space="0" w:color="auto"/>
            </w:tcBorders>
            <w:vAlign w:val="center"/>
          </w:tcPr>
          <w:p w14:paraId="153B11D4" w14:textId="77777777" w:rsidR="008C0BBE" w:rsidRPr="00141337" w:rsidRDefault="008C0BBE" w:rsidP="00141337">
            <w:pPr>
              <w:spacing w:after="0" w:line="240" w:lineRule="auto"/>
              <w:jc w:val="center"/>
              <w:rPr>
                <w:rFonts w:ascii="Times New Roman" w:eastAsia="Times New Roman" w:hAnsi="Times New Roman" w:cs="Times New Roman"/>
                <w:sz w:val="20"/>
                <w:szCs w:val="20"/>
                <w:lang w:eastAsia="lt-LT"/>
              </w:rPr>
            </w:pPr>
            <w:r w:rsidRPr="00141337">
              <w:rPr>
                <w:rFonts w:ascii="Times New Roman" w:eastAsia="Times New Roman" w:hAnsi="Times New Roman" w:cs="Times New Roman"/>
                <w:sz w:val="20"/>
                <w:szCs w:val="20"/>
                <w:lang w:eastAsia="lt-LT"/>
              </w:rPr>
              <w:t>68,12</w:t>
            </w:r>
          </w:p>
        </w:tc>
      </w:tr>
      <w:tr w:rsidR="008C0BBE" w:rsidRPr="00141337" w14:paraId="343CAB80" w14:textId="77777777" w:rsidTr="001F5E90">
        <w:trPr>
          <w:trHeight w:val="276"/>
          <w:jc w:val="center"/>
        </w:trPr>
        <w:tc>
          <w:tcPr>
            <w:tcW w:w="562" w:type="dxa"/>
            <w:vMerge/>
            <w:tcBorders>
              <w:top w:val="nil"/>
              <w:left w:val="single" w:sz="4" w:space="0" w:color="auto"/>
              <w:bottom w:val="single" w:sz="4" w:space="0" w:color="auto"/>
              <w:right w:val="single" w:sz="4" w:space="0" w:color="auto"/>
            </w:tcBorders>
            <w:vAlign w:val="center"/>
            <w:hideMark/>
          </w:tcPr>
          <w:p w14:paraId="0BE78EB9" w14:textId="77777777" w:rsidR="008C0BBE" w:rsidRPr="00141337" w:rsidRDefault="008C0BBE" w:rsidP="00141337">
            <w:pPr>
              <w:spacing w:after="0" w:line="240" w:lineRule="auto"/>
              <w:rPr>
                <w:rFonts w:ascii="Times New Roman" w:eastAsia="Times New Roman" w:hAnsi="Times New Roman" w:cs="Times New Roman"/>
                <w:sz w:val="20"/>
                <w:szCs w:val="20"/>
                <w:lang w:eastAsia="lt-LT"/>
              </w:rPr>
            </w:pPr>
          </w:p>
        </w:tc>
        <w:tc>
          <w:tcPr>
            <w:tcW w:w="3807" w:type="dxa"/>
            <w:tcBorders>
              <w:top w:val="nil"/>
              <w:left w:val="nil"/>
              <w:bottom w:val="single" w:sz="4" w:space="0" w:color="auto"/>
              <w:right w:val="single" w:sz="4" w:space="0" w:color="auto"/>
            </w:tcBorders>
            <w:vAlign w:val="center"/>
            <w:hideMark/>
          </w:tcPr>
          <w:p w14:paraId="4D5B006F" w14:textId="77777777" w:rsidR="008C0BBE" w:rsidRPr="00141337" w:rsidRDefault="008C0BBE" w:rsidP="00141337">
            <w:pPr>
              <w:spacing w:after="0" w:line="240" w:lineRule="auto"/>
              <w:rPr>
                <w:rFonts w:ascii="Times New Roman" w:eastAsia="Times New Roman" w:hAnsi="Times New Roman" w:cs="Times New Roman"/>
                <w:sz w:val="20"/>
                <w:szCs w:val="20"/>
                <w:lang w:eastAsia="lt-LT"/>
              </w:rPr>
            </w:pPr>
            <w:r w:rsidRPr="00141337">
              <w:rPr>
                <w:rFonts w:ascii="Times New Roman" w:eastAsia="Times New Roman" w:hAnsi="Times New Roman" w:cs="Times New Roman"/>
                <w:sz w:val="20"/>
                <w:szCs w:val="20"/>
                <w:lang w:eastAsia="lt-LT"/>
              </w:rPr>
              <w:t>Izoliacinės medžiagos, turinčios asbesto</w:t>
            </w:r>
          </w:p>
        </w:tc>
        <w:tc>
          <w:tcPr>
            <w:tcW w:w="1580" w:type="dxa"/>
            <w:tcBorders>
              <w:top w:val="nil"/>
              <w:left w:val="nil"/>
              <w:bottom w:val="single" w:sz="4" w:space="0" w:color="auto"/>
              <w:right w:val="single" w:sz="4" w:space="0" w:color="auto"/>
            </w:tcBorders>
            <w:vAlign w:val="center"/>
            <w:hideMark/>
          </w:tcPr>
          <w:p w14:paraId="372C8920" w14:textId="77777777" w:rsidR="008C0BBE" w:rsidRPr="00141337" w:rsidRDefault="008C0BBE" w:rsidP="00141337">
            <w:pPr>
              <w:spacing w:after="0" w:line="240" w:lineRule="auto"/>
              <w:jc w:val="center"/>
              <w:rPr>
                <w:rFonts w:ascii="Times New Roman" w:eastAsia="Times New Roman" w:hAnsi="Times New Roman" w:cs="Times New Roman"/>
                <w:sz w:val="20"/>
                <w:szCs w:val="20"/>
                <w:lang w:eastAsia="lt-LT"/>
              </w:rPr>
            </w:pPr>
            <w:r w:rsidRPr="00141337">
              <w:rPr>
                <w:rFonts w:ascii="Times New Roman" w:eastAsia="Times New Roman" w:hAnsi="Times New Roman" w:cs="Times New Roman"/>
                <w:sz w:val="20"/>
                <w:szCs w:val="20"/>
                <w:lang w:eastAsia="lt-LT"/>
              </w:rPr>
              <w:t>17 06 01</w:t>
            </w:r>
          </w:p>
        </w:tc>
        <w:tc>
          <w:tcPr>
            <w:tcW w:w="1984" w:type="dxa"/>
            <w:tcBorders>
              <w:top w:val="nil"/>
              <w:left w:val="nil"/>
              <w:bottom w:val="single" w:sz="4" w:space="0" w:color="auto"/>
              <w:right w:val="single" w:sz="4" w:space="0" w:color="auto"/>
            </w:tcBorders>
            <w:vAlign w:val="center"/>
          </w:tcPr>
          <w:p w14:paraId="4295728E" w14:textId="77777777" w:rsidR="008C0BBE" w:rsidRPr="00141337" w:rsidRDefault="008C0BBE" w:rsidP="00141337">
            <w:pPr>
              <w:spacing w:after="0" w:line="240" w:lineRule="auto"/>
              <w:jc w:val="center"/>
              <w:rPr>
                <w:rFonts w:ascii="Times New Roman" w:eastAsia="Times New Roman" w:hAnsi="Times New Roman" w:cs="Times New Roman"/>
                <w:sz w:val="20"/>
                <w:szCs w:val="20"/>
                <w:lang w:eastAsia="lt-LT"/>
              </w:rPr>
            </w:pPr>
            <w:r w:rsidRPr="00141337">
              <w:rPr>
                <w:rFonts w:ascii="Times New Roman" w:eastAsia="Times New Roman" w:hAnsi="Times New Roman" w:cs="Times New Roman"/>
                <w:sz w:val="20"/>
                <w:szCs w:val="20"/>
                <w:lang w:eastAsia="lt-LT"/>
              </w:rPr>
              <w:t>56,30</w:t>
            </w:r>
          </w:p>
        </w:tc>
        <w:tc>
          <w:tcPr>
            <w:tcW w:w="1937" w:type="dxa"/>
            <w:tcBorders>
              <w:top w:val="nil"/>
              <w:left w:val="nil"/>
              <w:bottom w:val="single" w:sz="4" w:space="0" w:color="auto"/>
              <w:right w:val="single" w:sz="4" w:space="0" w:color="auto"/>
            </w:tcBorders>
            <w:vAlign w:val="center"/>
          </w:tcPr>
          <w:p w14:paraId="7A589AEF" w14:textId="77777777" w:rsidR="008C0BBE" w:rsidRPr="00141337" w:rsidRDefault="008C0BBE" w:rsidP="00141337">
            <w:pPr>
              <w:spacing w:after="0" w:line="240" w:lineRule="auto"/>
              <w:jc w:val="center"/>
              <w:rPr>
                <w:rFonts w:ascii="Times New Roman" w:eastAsia="Times New Roman" w:hAnsi="Times New Roman" w:cs="Times New Roman"/>
                <w:sz w:val="20"/>
                <w:szCs w:val="20"/>
                <w:lang w:eastAsia="lt-LT"/>
              </w:rPr>
            </w:pPr>
            <w:r w:rsidRPr="00141337">
              <w:rPr>
                <w:rFonts w:ascii="Times New Roman" w:eastAsia="Times New Roman" w:hAnsi="Times New Roman" w:cs="Times New Roman"/>
                <w:sz w:val="20"/>
                <w:szCs w:val="20"/>
                <w:lang w:eastAsia="lt-LT"/>
              </w:rPr>
              <w:t>68,12</w:t>
            </w:r>
          </w:p>
        </w:tc>
      </w:tr>
      <w:tr w:rsidR="008C0BBE" w:rsidRPr="00141337" w14:paraId="26CB7EC1" w14:textId="77777777" w:rsidTr="001F5E90">
        <w:trPr>
          <w:trHeight w:val="276"/>
          <w:jc w:val="center"/>
        </w:trPr>
        <w:tc>
          <w:tcPr>
            <w:tcW w:w="562" w:type="dxa"/>
            <w:vMerge/>
            <w:tcBorders>
              <w:top w:val="nil"/>
              <w:left w:val="single" w:sz="4" w:space="0" w:color="auto"/>
              <w:bottom w:val="single" w:sz="4" w:space="0" w:color="auto"/>
              <w:right w:val="single" w:sz="4" w:space="0" w:color="auto"/>
            </w:tcBorders>
            <w:vAlign w:val="center"/>
            <w:hideMark/>
          </w:tcPr>
          <w:p w14:paraId="168C1DE7" w14:textId="77777777" w:rsidR="008C0BBE" w:rsidRPr="00141337" w:rsidRDefault="008C0BBE" w:rsidP="00141337">
            <w:pPr>
              <w:spacing w:after="0" w:line="240" w:lineRule="auto"/>
              <w:rPr>
                <w:rFonts w:ascii="Times New Roman" w:eastAsia="Times New Roman" w:hAnsi="Times New Roman" w:cs="Times New Roman"/>
                <w:sz w:val="20"/>
                <w:szCs w:val="20"/>
                <w:lang w:eastAsia="lt-LT"/>
              </w:rPr>
            </w:pPr>
          </w:p>
        </w:tc>
        <w:tc>
          <w:tcPr>
            <w:tcW w:w="7371" w:type="dxa"/>
            <w:gridSpan w:val="3"/>
            <w:tcBorders>
              <w:top w:val="single" w:sz="4" w:space="0" w:color="auto"/>
              <w:left w:val="nil"/>
              <w:bottom w:val="single" w:sz="4" w:space="0" w:color="auto"/>
              <w:right w:val="nil"/>
            </w:tcBorders>
            <w:vAlign w:val="center"/>
            <w:hideMark/>
          </w:tcPr>
          <w:p w14:paraId="1863D693" w14:textId="77777777" w:rsidR="008C0BBE" w:rsidRPr="00141337" w:rsidRDefault="008C0BBE" w:rsidP="00141337">
            <w:pPr>
              <w:spacing w:after="0" w:line="240" w:lineRule="auto"/>
              <w:jc w:val="center"/>
              <w:rPr>
                <w:rFonts w:ascii="Times New Roman" w:eastAsia="Times New Roman" w:hAnsi="Times New Roman" w:cs="Times New Roman"/>
                <w:b/>
                <w:bCs/>
                <w:i/>
                <w:iCs/>
                <w:sz w:val="20"/>
                <w:szCs w:val="20"/>
                <w:lang w:eastAsia="lt-LT"/>
              </w:rPr>
            </w:pPr>
            <w:r w:rsidRPr="00141337">
              <w:rPr>
                <w:rFonts w:ascii="Times New Roman" w:eastAsia="Times New Roman" w:hAnsi="Times New Roman" w:cs="Times New Roman"/>
                <w:b/>
                <w:bCs/>
                <w:i/>
                <w:iCs/>
                <w:sz w:val="20"/>
                <w:szCs w:val="20"/>
                <w:lang w:eastAsia="lt-LT"/>
              </w:rPr>
              <w:t>Statybinės atliekos, turinčios asbesto (įmonėms)</w:t>
            </w:r>
          </w:p>
        </w:tc>
        <w:tc>
          <w:tcPr>
            <w:tcW w:w="1937" w:type="dxa"/>
            <w:vAlign w:val="center"/>
            <w:hideMark/>
          </w:tcPr>
          <w:p w14:paraId="492B8CF5" w14:textId="77777777" w:rsidR="008C0BBE" w:rsidRPr="00141337" w:rsidRDefault="008C0BBE" w:rsidP="00141337">
            <w:pPr>
              <w:spacing w:after="0" w:line="240" w:lineRule="auto"/>
              <w:rPr>
                <w:rFonts w:ascii="Times New Roman" w:hAnsi="Times New Roman" w:cs="Times New Roman"/>
                <w:sz w:val="20"/>
                <w:szCs w:val="20"/>
              </w:rPr>
            </w:pPr>
          </w:p>
        </w:tc>
      </w:tr>
      <w:tr w:rsidR="008C0BBE" w:rsidRPr="00141337" w14:paraId="52BD4DFF" w14:textId="77777777" w:rsidTr="001F5E90">
        <w:trPr>
          <w:trHeight w:val="276"/>
          <w:jc w:val="center"/>
        </w:trPr>
        <w:tc>
          <w:tcPr>
            <w:tcW w:w="562" w:type="dxa"/>
            <w:vMerge/>
            <w:tcBorders>
              <w:top w:val="nil"/>
              <w:left w:val="single" w:sz="4" w:space="0" w:color="auto"/>
              <w:bottom w:val="single" w:sz="4" w:space="0" w:color="auto"/>
              <w:right w:val="single" w:sz="4" w:space="0" w:color="auto"/>
            </w:tcBorders>
            <w:vAlign w:val="center"/>
            <w:hideMark/>
          </w:tcPr>
          <w:p w14:paraId="67CA6D3B" w14:textId="77777777" w:rsidR="008C0BBE" w:rsidRPr="00141337" w:rsidRDefault="008C0BBE" w:rsidP="00141337">
            <w:pPr>
              <w:spacing w:after="0" w:line="240" w:lineRule="auto"/>
              <w:rPr>
                <w:rFonts w:ascii="Times New Roman" w:eastAsia="Times New Roman" w:hAnsi="Times New Roman" w:cs="Times New Roman"/>
                <w:sz w:val="20"/>
                <w:szCs w:val="20"/>
                <w:lang w:eastAsia="lt-LT"/>
              </w:rPr>
            </w:pPr>
          </w:p>
        </w:tc>
        <w:tc>
          <w:tcPr>
            <w:tcW w:w="3807" w:type="dxa"/>
            <w:tcBorders>
              <w:top w:val="nil"/>
              <w:left w:val="nil"/>
              <w:bottom w:val="single" w:sz="4" w:space="0" w:color="auto"/>
              <w:right w:val="single" w:sz="4" w:space="0" w:color="auto"/>
            </w:tcBorders>
            <w:vAlign w:val="center"/>
            <w:hideMark/>
          </w:tcPr>
          <w:p w14:paraId="5BCD5656" w14:textId="77777777" w:rsidR="008C0BBE" w:rsidRPr="00141337" w:rsidRDefault="008C0BBE" w:rsidP="00141337">
            <w:pPr>
              <w:spacing w:after="0" w:line="240" w:lineRule="auto"/>
              <w:rPr>
                <w:rFonts w:ascii="Times New Roman" w:eastAsia="Times New Roman" w:hAnsi="Times New Roman" w:cs="Times New Roman"/>
                <w:sz w:val="20"/>
                <w:szCs w:val="20"/>
                <w:lang w:eastAsia="lt-LT"/>
              </w:rPr>
            </w:pPr>
            <w:r w:rsidRPr="00141337">
              <w:rPr>
                <w:rFonts w:ascii="Times New Roman" w:eastAsia="Times New Roman" w:hAnsi="Times New Roman" w:cs="Times New Roman"/>
                <w:sz w:val="20"/>
                <w:szCs w:val="20"/>
                <w:lang w:eastAsia="lt-LT"/>
              </w:rPr>
              <w:t>Statybinės medžiagos, turinčios asbesto</w:t>
            </w:r>
          </w:p>
        </w:tc>
        <w:tc>
          <w:tcPr>
            <w:tcW w:w="1580" w:type="dxa"/>
            <w:tcBorders>
              <w:top w:val="nil"/>
              <w:left w:val="nil"/>
              <w:bottom w:val="single" w:sz="4" w:space="0" w:color="auto"/>
              <w:right w:val="single" w:sz="4" w:space="0" w:color="auto"/>
            </w:tcBorders>
            <w:vAlign w:val="center"/>
            <w:hideMark/>
          </w:tcPr>
          <w:p w14:paraId="6F75FC47" w14:textId="77777777" w:rsidR="008C0BBE" w:rsidRPr="00141337" w:rsidRDefault="008C0BBE" w:rsidP="00141337">
            <w:pPr>
              <w:spacing w:after="0" w:line="240" w:lineRule="auto"/>
              <w:jc w:val="center"/>
              <w:rPr>
                <w:rFonts w:ascii="Times New Roman" w:eastAsia="Times New Roman" w:hAnsi="Times New Roman" w:cs="Times New Roman"/>
                <w:sz w:val="20"/>
                <w:szCs w:val="20"/>
                <w:lang w:eastAsia="lt-LT"/>
              </w:rPr>
            </w:pPr>
            <w:r w:rsidRPr="00141337">
              <w:rPr>
                <w:rFonts w:ascii="Times New Roman" w:eastAsia="Times New Roman" w:hAnsi="Times New Roman" w:cs="Times New Roman"/>
                <w:sz w:val="20"/>
                <w:szCs w:val="20"/>
                <w:lang w:eastAsia="lt-LT"/>
              </w:rPr>
              <w:t>17 06 05</w:t>
            </w:r>
          </w:p>
        </w:tc>
        <w:tc>
          <w:tcPr>
            <w:tcW w:w="1984" w:type="dxa"/>
            <w:tcBorders>
              <w:top w:val="nil"/>
              <w:left w:val="nil"/>
              <w:bottom w:val="single" w:sz="4" w:space="0" w:color="auto"/>
              <w:right w:val="single" w:sz="4" w:space="0" w:color="auto"/>
            </w:tcBorders>
            <w:vAlign w:val="center"/>
          </w:tcPr>
          <w:p w14:paraId="1C5C243C" w14:textId="77777777" w:rsidR="008C0BBE" w:rsidRPr="00141337" w:rsidRDefault="008C0BBE" w:rsidP="00141337">
            <w:pPr>
              <w:spacing w:after="0" w:line="240" w:lineRule="auto"/>
              <w:jc w:val="center"/>
              <w:rPr>
                <w:rFonts w:ascii="Times New Roman" w:eastAsia="Times New Roman" w:hAnsi="Times New Roman" w:cs="Times New Roman"/>
                <w:sz w:val="20"/>
                <w:szCs w:val="20"/>
                <w:lang w:eastAsia="lt-LT"/>
              </w:rPr>
            </w:pPr>
            <w:r w:rsidRPr="00141337">
              <w:rPr>
                <w:rFonts w:ascii="Times New Roman" w:eastAsia="Times New Roman" w:hAnsi="Times New Roman" w:cs="Times New Roman"/>
                <w:sz w:val="20"/>
                <w:szCs w:val="20"/>
                <w:lang w:eastAsia="lt-LT"/>
              </w:rPr>
              <w:t>98,40</w:t>
            </w:r>
          </w:p>
        </w:tc>
        <w:tc>
          <w:tcPr>
            <w:tcW w:w="1937" w:type="dxa"/>
            <w:tcBorders>
              <w:top w:val="single" w:sz="4" w:space="0" w:color="auto"/>
              <w:left w:val="nil"/>
              <w:bottom w:val="single" w:sz="4" w:space="0" w:color="auto"/>
              <w:right w:val="single" w:sz="4" w:space="0" w:color="auto"/>
            </w:tcBorders>
            <w:vAlign w:val="center"/>
          </w:tcPr>
          <w:p w14:paraId="15E6CFC4" w14:textId="77777777" w:rsidR="008C0BBE" w:rsidRPr="00141337" w:rsidRDefault="008C0BBE" w:rsidP="00141337">
            <w:pPr>
              <w:spacing w:after="0" w:line="240" w:lineRule="auto"/>
              <w:jc w:val="center"/>
              <w:rPr>
                <w:rFonts w:ascii="Times New Roman" w:eastAsia="Times New Roman" w:hAnsi="Times New Roman" w:cs="Times New Roman"/>
                <w:sz w:val="20"/>
                <w:szCs w:val="20"/>
                <w:lang w:eastAsia="lt-LT"/>
              </w:rPr>
            </w:pPr>
            <w:r w:rsidRPr="00141337">
              <w:rPr>
                <w:rFonts w:ascii="Times New Roman" w:eastAsia="Times New Roman" w:hAnsi="Times New Roman" w:cs="Times New Roman"/>
                <w:sz w:val="20"/>
                <w:szCs w:val="20"/>
                <w:lang w:eastAsia="lt-LT"/>
              </w:rPr>
              <w:t>119,06</w:t>
            </w:r>
          </w:p>
        </w:tc>
      </w:tr>
      <w:tr w:rsidR="008C0BBE" w:rsidRPr="00141337" w14:paraId="42518762" w14:textId="77777777" w:rsidTr="001F5E90">
        <w:trPr>
          <w:trHeight w:val="276"/>
          <w:jc w:val="center"/>
        </w:trPr>
        <w:tc>
          <w:tcPr>
            <w:tcW w:w="562" w:type="dxa"/>
            <w:vMerge/>
            <w:tcBorders>
              <w:top w:val="nil"/>
              <w:left w:val="single" w:sz="4" w:space="0" w:color="auto"/>
              <w:bottom w:val="single" w:sz="4" w:space="0" w:color="auto"/>
              <w:right w:val="single" w:sz="4" w:space="0" w:color="auto"/>
            </w:tcBorders>
            <w:vAlign w:val="center"/>
            <w:hideMark/>
          </w:tcPr>
          <w:p w14:paraId="43660787" w14:textId="77777777" w:rsidR="008C0BBE" w:rsidRPr="00141337" w:rsidRDefault="008C0BBE" w:rsidP="00141337">
            <w:pPr>
              <w:spacing w:after="0" w:line="240" w:lineRule="auto"/>
              <w:rPr>
                <w:rFonts w:ascii="Times New Roman" w:eastAsia="Times New Roman" w:hAnsi="Times New Roman" w:cs="Times New Roman"/>
                <w:sz w:val="20"/>
                <w:szCs w:val="20"/>
                <w:lang w:eastAsia="lt-LT"/>
              </w:rPr>
            </w:pPr>
          </w:p>
        </w:tc>
        <w:tc>
          <w:tcPr>
            <w:tcW w:w="3807" w:type="dxa"/>
            <w:tcBorders>
              <w:top w:val="nil"/>
              <w:left w:val="nil"/>
              <w:bottom w:val="single" w:sz="4" w:space="0" w:color="auto"/>
              <w:right w:val="single" w:sz="4" w:space="0" w:color="auto"/>
            </w:tcBorders>
            <w:vAlign w:val="center"/>
            <w:hideMark/>
          </w:tcPr>
          <w:p w14:paraId="3C3BA25B" w14:textId="77777777" w:rsidR="008C0BBE" w:rsidRPr="00141337" w:rsidRDefault="008C0BBE" w:rsidP="00141337">
            <w:pPr>
              <w:spacing w:after="0" w:line="240" w:lineRule="auto"/>
              <w:rPr>
                <w:rFonts w:ascii="Times New Roman" w:eastAsia="Times New Roman" w:hAnsi="Times New Roman" w:cs="Times New Roman"/>
                <w:sz w:val="20"/>
                <w:szCs w:val="20"/>
                <w:lang w:eastAsia="lt-LT"/>
              </w:rPr>
            </w:pPr>
            <w:r w:rsidRPr="00141337">
              <w:rPr>
                <w:rFonts w:ascii="Times New Roman" w:eastAsia="Times New Roman" w:hAnsi="Times New Roman" w:cs="Times New Roman"/>
                <w:sz w:val="20"/>
                <w:szCs w:val="20"/>
                <w:lang w:eastAsia="lt-LT"/>
              </w:rPr>
              <w:t>Izoliacinės medžiagos, turinčios asbesto</w:t>
            </w:r>
          </w:p>
        </w:tc>
        <w:tc>
          <w:tcPr>
            <w:tcW w:w="1580" w:type="dxa"/>
            <w:tcBorders>
              <w:top w:val="nil"/>
              <w:left w:val="nil"/>
              <w:bottom w:val="single" w:sz="4" w:space="0" w:color="auto"/>
              <w:right w:val="single" w:sz="4" w:space="0" w:color="auto"/>
            </w:tcBorders>
            <w:vAlign w:val="center"/>
            <w:hideMark/>
          </w:tcPr>
          <w:p w14:paraId="56D04E81" w14:textId="77777777" w:rsidR="008C0BBE" w:rsidRPr="00141337" w:rsidRDefault="008C0BBE" w:rsidP="00141337">
            <w:pPr>
              <w:spacing w:after="0" w:line="240" w:lineRule="auto"/>
              <w:jc w:val="center"/>
              <w:rPr>
                <w:rFonts w:ascii="Times New Roman" w:eastAsia="Times New Roman" w:hAnsi="Times New Roman" w:cs="Times New Roman"/>
                <w:sz w:val="20"/>
                <w:szCs w:val="20"/>
                <w:lang w:eastAsia="lt-LT"/>
              </w:rPr>
            </w:pPr>
            <w:r w:rsidRPr="00141337">
              <w:rPr>
                <w:rFonts w:ascii="Times New Roman" w:eastAsia="Times New Roman" w:hAnsi="Times New Roman" w:cs="Times New Roman"/>
                <w:sz w:val="20"/>
                <w:szCs w:val="20"/>
                <w:lang w:eastAsia="lt-LT"/>
              </w:rPr>
              <w:t>17 06 01</w:t>
            </w:r>
          </w:p>
        </w:tc>
        <w:tc>
          <w:tcPr>
            <w:tcW w:w="1984" w:type="dxa"/>
            <w:tcBorders>
              <w:top w:val="nil"/>
              <w:left w:val="nil"/>
              <w:bottom w:val="single" w:sz="4" w:space="0" w:color="auto"/>
              <w:right w:val="single" w:sz="4" w:space="0" w:color="auto"/>
            </w:tcBorders>
            <w:vAlign w:val="center"/>
          </w:tcPr>
          <w:p w14:paraId="106095B7" w14:textId="77777777" w:rsidR="008C0BBE" w:rsidRPr="00141337" w:rsidRDefault="008C0BBE" w:rsidP="00141337">
            <w:pPr>
              <w:spacing w:after="0" w:line="240" w:lineRule="auto"/>
              <w:jc w:val="center"/>
              <w:rPr>
                <w:rFonts w:ascii="Times New Roman" w:eastAsia="Times New Roman" w:hAnsi="Times New Roman" w:cs="Times New Roman"/>
                <w:sz w:val="20"/>
                <w:szCs w:val="20"/>
                <w:lang w:eastAsia="lt-LT"/>
              </w:rPr>
            </w:pPr>
            <w:r w:rsidRPr="00141337">
              <w:rPr>
                <w:rFonts w:ascii="Times New Roman" w:eastAsia="Times New Roman" w:hAnsi="Times New Roman" w:cs="Times New Roman"/>
                <w:sz w:val="20"/>
                <w:szCs w:val="20"/>
                <w:lang w:eastAsia="lt-LT"/>
              </w:rPr>
              <w:t>98,40</w:t>
            </w:r>
          </w:p>
        </w:tc>
        <w:tc>
          <w:tcPr>
            <w:tcW w:w="1937" w:type="dxa"/>
            <w:tcBorders>
              <w:top w:val="nil"/>
              <w:left w:val="nil"/>
              <w:bottom w:val="single" w:sz="4" w:space="0" w:color="auto"/>
              <w:right w:val="single" w:sz="4" w:space="0" w:color="auto"/>
            </w:tcBorders>
            <w:vAlign w:val="center"/>
          </w:tcPr>
          <w:p w14:paraId="645C41B4" w14:textId="77777777" w:rsidR="008C0BBE" w:rsidRPr="00141337" w:rsidRDefault="008C0BBE" w:rsidP="00141337">
            <w:pPr>
              <w:spacing w:after="0" w:line="240" w:lineRule="auto"/>
              <w:jc w:val="center"/>
              <w:rPr>
                <w:rFonts w:ascii="Times New Roman" w:eastAsia="Times New Roman" w:hAnsi="Times New Roman" w:cs="Times New Roman"/>
                <w:sz w:val="20"/>
                <w:szCs w:val="20"/>
                <w:lang w:eastAsia="lt-LT"/>
              </w:rPr>
            </w:pPr>
            <w:r w:rsidRPr="00141337">
              <w:rPr>
                <w:rFonts w:ascii="Times New Roman" w:eastAsia="Times New Roman" w:hAnsi="Times New Roman" w:cs="Times New Roman"/>
                <w:sz w:val="20"/>
                <w:szCs w:val="20"/>
                <w:lang w:eastAsia="lt-LT"/>
              </w:rPr>
              <w:t>119,06</w:t>
            </w:r>
          </w:p>
        </w:tc>
      </w:tr>
    </w:tbl>
    <w:p w14:paraId="4CC39125" w14:textId="7F146EE7" w:rsidR="008C0BBE" w:rsidRPr="00141337" w:rsidRDefault="008C0BBE" w:rsidP="00141337">
      <w:pPr>
        <w:spacing w:after="0" w:line="240" w:lineRule="auto"/>
        <w:jc w:val="both"/>
        <w:rPr>
          <w:rFonts w:ascii="Times New Roman" w:hAnsi="Times New Roman" w:cs="Times New Roman"/>
          <w:i/>
          <w:sz w:val="23"/>
          <w:szCs w:val="23"/>
        </w:rPr>
      </w:pPr>
      <w:r w:rsidRPr="00141337">
        <w:rPr>
          <w:rFonts w:ascii="Times New Roman" w:hAnsi="Times New Roman" w:cs="Times New Roman"/>
          <w:i/>
          <w:sz w:val="23"/>
          <w:szCs w:val="23"/>
        </w:rPr>
        <w:t>*</w:t>
      </w:r>
      <w:r w:rsidRPr="00141337">
        <w:rPr>
          <w:rFonts w:ascii="Times New Roman" w:hAnsi="Times New Roman" w:cs="Times New Roman"/>
          <w:sz w:val="23"/>
          <w:szCs w:val="23"/>
        </w:rPr>
        <w:t xml:space="preserve"> </w:t>
      </w:r>
      <w:r w:rsidRPr="00141337">
        <w:rPr>
          <w:rFonts w:ascii="Times New Roman" w:hAnsi="Times New Roman" w:cs="Times New Roman"/>
          <w:i/>
          <w:sz w:val="23"/>
          <w:szCs w:val="23"/>
        </w:rPr>
        <w:t>Pasikeitus Sąvartyno atliekų priėmimo įkainiams, bus taikomi tuo metu galiojantys įkainiai</w:t>
      </w:r>
      <w:r w:rsidR="00141337" w:rsidRPr="00141337">
        <w:rPr>
          <w:rFonts w:ascii="Times New Roman" w:hAnsi="Times New Roman" w:cs="Times New Roman"/>
          <w:i/>
          <w:sz w:val="23"/>
          <w:szCs w:val="23"/>
        </w:rPr>
        <w:t>.</w:t>
      </w:r>
    </w:p>
    <w:p w14:paraId="05A40A6B"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2.5. Pagrindinį Atliekų kiekį sudarys asbestinė stogų danga (šiferis), kitos galimos atliekos – izoliacinės medžiagos, kuriose yra asbesto: asbesto vamzdžiai, asbesto turintis popierius, kartonas, PVC dangos plokštės (plytelės, kuriose yra asbesto, sujungimai (pvz., ventiliacijos kanalai), palangės ir kt.).</w:t>
      </w:r>
    </w:p>
    <w:p w14:paraId="33A9E933" w14:textId="2EE7CC3D"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2.6. Paslaugų suteikimo terminas – 36 (trisdešimt šeši) mėnesiai nuo Sutarties sudarymo dienos.</w:t>
      </w:r>
    </w:p>
    <w:p w14:paraId="68DF91BE" w14:textId="77777777" w:rsidR="00141337" w:rsidRDefault="00141337" w:rsidP="00141337">
      <w:pPr>
        <w:spacing w:after="0" w:line="240" w:lineRule="auto"/>
        <w:jc w:val="both"/>
        <w:rPr>
          <w:rFonts w:ascii="Times New Roman" w:hAnsi="Times New Roman" w:cs="Times New Roman"/>
          <w:b/>
          <w:sz w:val="23"/>
          <w:szCs w:val="23"/>
        </w:rPr>
      </w:pPr>
    </w:p>
    <w:p w14:paraId="18641CB3" w14:textId="2505C191" w:rsidR="008C0BBE" w:rsidRPr="00141337" w:rsidRDefault="008C0BBE" w:rsidP="00141337">
      <w:pPr>
        <w:spacing w:after="0" w:line="240" w:lineRule="auto"/>
        <w:jc w:val="both"/>
        <w:rPr>
          <w:rFonts w:ascii="Times New Roman" w:hAnsi="Times New Roman" w:cs="Times New Roman"/>
          <w:b/>
          <w:sz w:val="23"/>
          <w:szCs w:val="23"/>
        </w:rPr>
      </w:pPr>
      <w:r w:rsidRPr="00141337">
        <w:rPr>
          <w:rFonts w:ascii="Times New Roman" w:hAnsi="Times New Roman" w:cs="Times New Roman"/>
          <w:b/>
          <w:sz w:val="23"/>
          <w:szCs w:val="23"/>
        </w:rPr>
        <w:t>3. Paslaugų teikimo tvarka:</w:t>
      </w:r>
    </w:p>
    <w:p w14:paraId="53ADCA54"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3.1. Paslaugų teikėjas per 5 (penkias) darbo dienas nuo Sutarties sudarymo dienos paskiria asmenį, su kuriuo Paslaugų gavėjo atstovas galės bendrauti dėl Pirkimo objekto ir kitų klausimų, susijusių su Sutartimi ir šia technine specifikacija.</w:t>
      </w:r>
    </w:p>
    <w:p w14:paraId="4D37E769"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 xml:space="preserve">3.2. Paslaugų teikėjas įsipareigoja kas 2 (du) mėnesius informaciją apie teikiamą Paslaugą skelbti internetinėje svetainėje ir vietinėje spaudoje. Paslaugų gavėjas įsipareigoja informaciją apie teikiamą </w:t>
      </w:r>
      <w:r w:rsidRPr="00141337">
        <w:rPr>
          <w:rFonts w:ascii="Times New Roman" w:hAnsi="Times New Roman" w:cs="Times New Roman"/>
          <w:sz w:val="23"/>
          <w:szCs w:val="23"/>
        </w:rPr>
        <w:lastRenderedPageBreak/>
        <w:t>Paslaugą skelbti Šiaulių miesto savivaldybės internetinėje svetainėje (</w:t>
      </w:r>
      <w:hyperlink r:id="rId4" w:history="1">
        <w:r w:rsidRPr="00141337">
          <w:rPr>
            <w:rStyle w:val="Hipersaitas"/>
            <w:rFonts w:ascii="Times New Roman" w:hAnsi="Times New Roman" w:cs="Times New Roman"/>
            <w:sz w:val="23"/>
            <w:szCs w:val="23"/>
          </w:rPr>
          <w:t>www.siauliai.lt</w:t>
        </w:r>
      </w:hyperlink>
      <w:r w:rsidRPr="00141337">
        <w:rPr>
          <w:rFonts w:ascii="Times New Roman" w:hAnsi="Times New Roman" w:cs="Times New Roman"/>
          <w:sz w:val="23"/>
          <w:szCs w:val="23"/>
        </w:rPr>
        <w:t>). Informacijoje nurodomi Paslaugų teikėjo kontaktiniai duomenys, kuriais galima susisiekti dėl Atliekų išvežimo.</w:t>
      </w:r>
    </w:p>
    <w:p w14:paraId="74B57A63"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 xml:space="preserve">3.3. Paslaugų teikėjas, gavęs individualių namų ir (ar) visuomeninės paskirties pastatų savininkų (naudotojų) prašymus dėl Atliekų išvežimo, susisiekia su prašymus pateikusiais Atliekų turėtojais susitarti dėl Paslaugos suteikimo datos ir laiko. Paslaugų teikėjas Paslaugą turi suteikti ne vėliau kaip per 30 (trisdešimt) dienų nuo prašymo gavimo dienos. </w:t>
      </w:r>
    </w:p>
    <w:p w14:paraId="71252099"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 xml:space="preserve">3.4. Paslaugų teikėjas, paėmęs Atliekas iš Atliekų turėtojo, privalo užsipildyti ir pasirašyti suteiktų paslaugų aktą (akto forma su Paslaugų gavėju suderinama per 10 (dešimt) darbo dienų nuo Sutarties sudarymo dienos). </w:t>
      </w:r>
    </w:p>
    <w:p w14:paraId="38607881"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 xml:space="preserve">3.5. Iš to paties Atliekų turėtojo paimamų Atliekų kiekiai ir Atliekų paėmimų kartai neribojami. Iš to paties Atliekų turėtojo Atliekas paėmus kelis kartus, kiekvieną kartą pildomas atskiras suteiktų paslaugų aktas. </w:t>
      </w:r>
    </w:p>
    <w:p w14:paraId="67FBCE7E"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3.6. Paslaugų teikėjas, paimdamas Atliekas iš Atliekų turėtojų, privalo parengti ir pildyti kelionės bei krovinio vežimo dokumentus ir kitus reikalingus dokumentus pagal teisės aktus, reglamentuojančius šių Atliekų tvarkymą.</w:t>
      </w:r>
    </w:p>
    <w:p w14:paraId="422DAB9D"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 xml:space="preserve">3.6. Atliekos turi būti surenkamos, transportuojamos ir priduodamos atskirai iš fizinių ir atskirai iš juridinių asmenų – visuomeninės paskirties pastatų savininkų (naudotojų). </w:t>
      </w:r>
    </w:p>
    <w:p w14:paraId="6D1D78D4"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 xml:space="preserve">3.7. Paslaugų teikėjas privalo surinkti, pasikrauti ir transportuoti (vežti) Atliekas į Šalinimo įrenginį vadovaujantis teisės aktais, reglamentuojančiais atliekų tvarkymą šioms Atliekoms. </w:t>
      </w:r>
    </w:p>
    <w:p w14:paraId="1EB15235"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3.8. Paslaugų teikėjas Atliekas iš visuomeninės paskirties ir individualių gyventojų pastatų turi pasikrauti savo jėgomis, surinkti savo transportu, transportuoti ir saugiai pašalinti Šalinimo įrenginyje.</w:t>
      </w:r>
    </w:p>
    <w:p w14:paraId="13AB7208"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3.9. Paslaugų teikėjas surenkamas Atliekas privalo supakuoti taip, kad jos nekeltų pavojaus visuomenės sveikatai ir aplinkai bei pagal Šalinimo įrenginio taikomus reikalavimus Atliekų šalinimui (šiferio lakštai sukrauti ant palečių, sudaužytas šiferis sukrautas į maišus ir kt.).</w:t>
      </w:r>
    </w:p>
    <w:p w14:paraId="334247EB"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3.10. Per visą dieną nepririnkus pilno kėbulo Atliekų, jas galima laikinai saugoti Paslaugų teikėjo saugomoje teritorijoje. Pavojingųjų atliekų saugojimo trukmė negali būti ilgesnė nei nustatyta teisės aktuose.</w:t>
      </w:r>
    </w:p>
    <w:p w14:paraId="10CDBFE4"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 xml:space="preserve">3.11. Atliekų kiekis patikslinamas, sveriant Atliekas Šalinimo įrenginyje. </w:t>
      </w:r>
    </w:p>
    <w:p w14:paraId="4047462D"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3.12. Į Šalinimo įrenginį pristatytų Atliekų apskaita turi būti vykdoma Vieningoje gaminių, pakuočių ir atliekų apskaitos informacinėje sistemoje (GPAIS).</w:t>
      </w:r>
    </w:p>
    <w:p w14:paraId="095BF69B"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3.12. Paslaugų teikėjas turi sudaryti suminę ataskaitą pagal gautus prašymus dėl Atliekų išvežimo. Suminėje ataskaitoje nurodomi tokie duomenys: vardas, pavardė / juridinio asmens pavadinimas, adresas, Atliekų paėmimo iš Atliekų turėtojo data, įvežimo į Šalinimo įrenginį data, preliminarus Atliekų kiekis, faktinis Atliekų kiekis pagal Šalinimo įrenginio duomenis (suminės ataskaitos forma su Paslaugų gavėju suderinama per 10 (dešimt) darbo dienų nuo Sutarties sudarymo dienos).</w:t>
      </w:r>
    </w:p>
    <w:p w14:paraId="28104C03"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 xml:space="preserve">3.13. Už suteiktas Paslaugas atsiskaitoma pagal faktiškai surinktų ir pašalintų Atliekų kiekį Šalinimo įrenginyje. </w:t>
      </w:r>
    </w:p>
    <w:p w14:paraId="1440CF4E"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3.14. Paslaugų teikėjas, surinkęs Atliekas, Paslaugų gavėjui kas mėnesį, už praeitą mėnesį iki einamojo mėnesio 5 d. pateikia sąskaitą (-as) faktūrą (-as), atliktų paslaugų aktą (-us), suminę (-es) ataskaitą (-as), su Atliekų turėtojais pasirašytus suteiktų paslaugų aktus ir Šalinimo įrenginio atliekų priėmimo deklaracijas su kvitais.</w:t>
      </w:r>
    </w:p>
    <w:p w14:paraId="155DB05D"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3.15. Paslaugų gavėjas pasilieka teisę reikalauti iš Paslaugų teikėjo ir kitų dokumentų, reikalingų patvirtinti atliktų Paslaugų kiekius, kokybę, terminus ir kt.</w:t>
      </w:r>
    </w:p>
    <w:p w14:paraId="1F1FE0F4" w14:textId="77777777" w:rsidR="00141337" w:rsidRDefault="00141337" w:rsidP="00141337">
      <w:pPr>
        <w:spacing w:after="0" w:line="240" w:lineRule="auto"/>
        <w:jc w:val="both"/>
        <w:rPr>
          <w:rFonts w:ascii="Times New Roman" w:hAnsi="Times New Roman" w:cs="Times New Roman"/>
          <w:b/>
          <w:sz w:val="23"/>
          <w:szCs w:val="23"/>
        </w:rPr>
      </w:pPr>
    </w:p>
    <w:p w14:paraId="4643AF22" w14:textId="1B336E6C" w:rsidR="008C0BBE" w:rsidRPr="00141337" w:rsidRDefault="008C0BBE" w:rsidP="00141337">
      <w:pPr>
        <w:spacing w:after="0" w:line="240" w:lineRule="auto"/>
        <w:jc w:val="both"/>
        <w:rPr>
          <w:rFonts w:ascii="Times New Roman" w:hAnsi="Times New Roman" w:cs="Times New Roman"/>
          <w:b/>
          <w:sz w:val="23"/>
          <w:szCs w:val="23"/>
        </w:rPr>
      </w:pPr>
      <w:r w:rsidRPr="00141337">
        <w:rPr>
          <w:rFonts w:ascii="Times New Roman" w:hAnsi="Times New Roman" w:cs="Times New Roman"/>
          <w:b/>
          <w:sz w:val="23"/>
          <w:szCs w:val="23"/>
        </w:rPr>
        <w:t>4. Reikalavimai Paslaugų teikėjui:</w:t>
      </w:r>
    </w:p>
    <w:p w14:paraId="2DA292E7"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4.1. Paslaugų teikėjas privalo būti registruotas Atliekų tvarkytojų valstybės registre.</w:t>
      </w:r>
    </w:p>
    <w:p w14:paraId="50EA82CE"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4.2. Paslaugų teikėjas privalo turėti pavojingųjų atliekų tvarkymo licenciją.</w:t>
      </w:r>
    </w:p>
    <w:p w14:paraId="4FA8FF56"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4.3. Paslaugų teikėjas privalo laikytis Lietuvos Respublikos Atliekų tvarkymo įstatymo, Atliekų tvarkymo taisyklių ir kitų su pavojingųjų atliekų tvarkymu susijusių teisės aktų reikalavimų.</w:t>
      </w:r>
    </w:p>
    <w:p w14:paraId="215872AA" w14:textId="77777777" w:rsidR="008C0BBE" w:rsidRPr="00141337" w:rsidRDefault="008C0BBE" w:rsidP="00141337">
      <w:pPr>
        <w:spacing w:after="0" w:line="240" w:lineRule="auto"/>
        <w:jc w:val="both"/>
        <w:rPr>
          <w:rFonts w:ascii="Times New Roman" w:hAnsi="Times New Roman" w:cs="Times New Roman"/>
          <w:sz w:val="23"/>
          <w:szCs w:val="23"/>
        </w:rPr>
      </w:pPr>
      <w:r w:rsidRPr="00141337">
        <w:rPr>
          <w:rFonts w:ascii="Times New Roman" w:hAnsi="Times New Roman" w:cs="Times New Roman"/>
          <w:sz w:val="23"/>
          <w:szCs w:val="23"/>
        </w:rPr>
        <w:t>4.4. Paslaugų teikėjas privalo turimus Atliekų turėtojų duomenis naudoti vadovaujantis duomenų apsaugos įstatymo reikalavimais ir neatskleisti jų tretiesiems asmenims.</w:t>
      </w:r>
    </w:p>
    <w:p w14:paraId="3009133F" w14:textId="00D26ABB" w:rsidR="00756827" w:rsidRPr="00141337" w:rsidRDefault="008C0BBE" w:rsidP="00141337">
      <w:pPr>
        <w:spacing w:after="0" w:line="240" w:lineRule="auto"/>
        <w:jc w:val="center"/>
        <w:rPr>
          <w:rFonts w:ascii="Times New Roman" w:hAnsi="Times New Roman" w:cs="Times New Roman"/>
          <w:sz w:val="24"/>
          <w:szCs w:val="24"/>
        </w:rPr>
      </w:pPr>
      <w:r w:rsidRPr="00141337">
        <w:rPr>
          <w:rFonts w:ascii="Times New Roman" w:hAnsi="Times New Roman" w:cs="Times New Roman"/>
          <w:sz w:val="23"/>
          <w:szCs w:val="23"/>
        </w:rPr>
        <w:t>_</w:t>
      </w:r>
      <w:r w:rsidRPr="00074B47">
        <w:rPr>
          <w:rFonts w:ascii="Times New Roman" w:hAnsi="Times New Roman" w:cs="Times New Roman"/>
          <w:sz w:val="23"/>
          <w:szCs w:val="23"/>
        </w:rPr>
        <w:t>____________________</w:t>
      </w:r>
    </w:p>
    <w:sectPr w:rsidR="00756827" w:rsidRPr="00141337" w:rsidSect="00CE09E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BBE"/>
    <w:rsid w:val="00141337"/>
    <w:rsid w:val="0019388B"/>
    <w:rsid w:val="002E7B50"/>
    <w:rsid w:val="00756827"/>
    <w:rsid w:val="008C0BBE"/>
    <w:rsid w:val="00AD148F"/>
    <w:rsid w:val="00BC3C11"/>
    <w:rsid w:val="00CE09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3253E"/>
  <w15:chartTrackingRefBased/>
  <w15:docId w15:val="{B62765F8-8935-4A0F-AE5F-19051C13A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0BB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C0BB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850918">
      <w:bodyDiv w:val="1"/>
      <w:marLeft w:val="0"/>
      <w:marRight w:val="0"/>
      <w:marTop w:val="0"/>
      <w:marBottom w:val="0"/>
      <w:divBdr>
        <w:top w:val="none" w:sz="0" w:space="0" w:color="auto"/>
        <w:left w:val="none" w:sz="0" w:space="0" w:color="auto"/>
        <w:bottom w:val="none" w:sz="0" w:space="0" w:color="auto"/>
        <w:right w:val="none" w:sz="0" w:space="0" w:color="auto"/>
      </w:divBdr>
    </w:div>
    <w:div w:id="2089037116">
      <w:bodyDiv w:val="1"/>
      <w:marLeft w:val="0"/>
      <w:marRight w:val="0"/>
      <w:marTop w:val="0"/>
      <w:marBottom w:val="0"/>
      <w:divBdr>
        <w:top w:val="none" w:sz="0" w:space="0" w:color="auto"/>
        <w:left w:val="none" w:sz="0" w:space="0" w:color="auto"/>
        <w:bottom w:val="none" w:sz="0" w:space="0" w:color="auto"/>
        <w:right w:val="none" w:sz="0" w:space="0" w:color="auto"/>
      </w:divBdr>
    </w:div>
    <w:div w:id="212376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5017</Words>
  <Characters>2860</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Vilutienė</dc:creator>
  <cp:keywords/>
  <dc:description/>
  <cp:lastModifiedBy>PC31</cp:lastModifiedBy>
  <cp:revision>5</cp:revision>
  <dcterms:created xsi:type="dcterms:W3CDTF">2025-01-15T05:47:00Z</dcterms:created>
  <dcterms:modified xsi:type="dcterms:W3CDTF">2025-01-16T09:22:00Z</dcterms:modified>
</cp:coreProperties>
</file>